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54F9" w14:textId="77777777" w:rsidR="005A6986" w:rsidRPr="00EE73F0" w:rsidRDefault="005A6986" w:rsidP="005A698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FBD27E" wp14:editId="38C7113A">
            <wp:simplePos x="0" y="0"/>
            <wp:positionH relativeFrom="column">
              <wp:posOffset>-3810</wp:posOffset>
            </wp:positionH>
            <wp:positionV relativeFrom="paragraph">
              <wp:posOffset>-37465</wp:posOffset>
            </wp:positionV>
            <wp:extent cx="1752600" cy="904875"/>
            <wp:effectExtent l="0" t="0" r="0" b="9525"/>
            <wp:wrapSquare wrapText="bothSides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3F0">
        <w:rPr>
          <w:rFonts w:ascii="Verdana" w:hAnsi="Verdana"/>
          <w:b/>
          <w:color w:val="000000"/>
          <w:spacing w:val="-1"/>
          <w:sz w:val="20"/>
          <w:szCs w:val="20"/>
        </w:rPr>
        <w:t>Конвейер охлаждающий ОК-1-1 (ОК-2-1)</w:t>
      </w:r>
      <w:r w:rsidRPr="00EE73F0">
        <w:rPr>
          <w:rFonts w:ascii="Verdana" w:hAnsi="Verdana"/>
          <w:color w:val="000000"/>
          <w:spacing w:val="-1"/>
          <w:sz w:val="20"/>
          <w:szCs w:val="20"/>
        </w:rPr>
        <w:t xml:space="preserve"> предназначен для механизации процесса охлаждения декорированных кондитерских изделий на предприятиях пищевой промышленности. </w:t>
      </w:r>
    </w:p>
    <w:p w14:paraId="2807A36F" w14:textId="77777777" w:rsidR="00DF27EE" w:rsidRDefault="00DF27EE" w:rsidP="00EE73F0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  <w:r w:rsidRPr="00EE73F0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  <w:r w:rsidR="005A6986">
        <w:rPr>
          <w:rFonts w:ascii="Verdana" w:hAnsi="Verdana"/>
          <w:b/>
          <w:color w:val="000000"/>
          <w:spacing w:val="-1"/>
          <w:sz w:val="20"/>
          <w:szCs w:val="20"/>
        </w:rPr>
        <w:t xml:space="preserve"> </w:t>
      </w:r>
      <w:r w:rsidR="005A6986">
        <w:rPr>
          <w:rFonts w:ascii="Verdana" w:hAnsi="Verdana"/>
          <w:color w:val="000000"/>
          <w:spacing w:val="-1"/>
          <w:sz w:val="20"/>
          <w:szCs w:val="20"/>
        </w:rPr>
        <w:t>ох</w:t>
      </w:r>
      <w:r w:rsidRPr="00EE73F0">
        <w:rPr>
          <w:rFonts w:ascii="Verdana" w:hAnsi="Verdana"/>
          <w:color w:val="000000"/>
          <w:spacing w:val="-1"/>
          <w:sz w:val="20"/>
          <w:szCs w:val="20"/>
        </w:rPr>
        <w:t xml:space="preserve">лаждающий конвейер для линии декорирования состоит из секции. Секция охлаждения представляет собой металлический каркас, обшитый сэндвич панелями, на котором размещаются остальные элементы установки. В процессе работы холодильный агрегат остужает до заданной температуры воздухоохладители, расположенный над лентой конвейера. Расположенные сверху вентиляторы продувают воздухоохладители в направлении ленты конвейера. Секции снабжены индивидуальным осушителем. Образовывающийся конденсат отводится наружу. В качестве холодильного агрегата в конвейерах серии ОК применяются среднетемпературные агрегаты TECUMSEH серии SP (R22) с использованием хладагента R-22 для первой секции и </w:t>
      </w:r>
      <w:r w:rsidRPr="00EE73F0">
        <w:rPr>
          <w:rFonts w:ascii="Verdana" w:hAnsi="Verdana"/>
          <w:color w:val="000000"/>
          <w:spacing w:val="-1"/>
          <w:sz w:val="20"/>
          <w:szCs w:val="20"/>
          <w:lang w:val="en-US"/>
        </w:rPr>
        <w:t>R</w:t>
      </w:r>
      <w:r w:rsidRPr="00EE73F0">
        <w:rPr>
          <w:rFonts w:ascii="Verdana" w:hAnsi="Verdana"/>
          <w:color w:val="000000"/>
          <w:spacing w:val="-1"/>
          <w:sz w:val="20"/>
          <w:szCs w:val="20"/>
        </w:rPr>
        <w:t>404 для последующих. Привод конвейера приводится в движение частотно регулируемым мотор-редуктором. Основной пульт управления предназначен для подачи питания, запуска движения ленты, регулировки скорости движения ленты. Каждая секция снабжена индивидуальным пультом управления. Основным функционалом которого является: регулировка объёма подачи охлаждённого воздуха, задание требуемой температуры, мониторинг рабочей температуры, отображение параметров работы холодильного агрегата. Уровень заданной температуры охлаждающего конвейера достигается с помощью рециркуляции охлажденного воздуха.</w:t>
      </w:r>
    </w:p>
    <w:p w14:paraId="48159E09" w14:textId="77777777" w:rsidR="005A6986" w:rsidRPr="00EE73F0" w:rsidRDefault="005A6986" w:rsidP="00EE73F0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551"/>
        <w:gridCol w:w="2410"/>
      </w:tblGrid>
      <w:tr w:rsidR="00F03DF5" w:rsidRPr="00EE73F0" w14:paraId="52344A51" w14:textId="77777777" w:rsidTr="00C11C67">
        <w:tc>
          <w:tcPr>
            <w:tcW w:w="496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8867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Style w:val="a9"/>
                <w:rFonts w:ascii="Verdana" w:hAnsi="Verdana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551" w:type="dxa"/>
            <w:shd w:val="pct10" w:color="auto" w:fill="auto"/>
          </w:tcPr>
          <w:p w14:paraId="78E995AE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ОК-1-1</w:t>
            </w:r>
          </w:p>
        </w:tc>
        <w:tc>
          <w:tcPr>
            <w:tcW w:w="2410" w:type="dxa"/>
            <w:shd w:val="pct10" w:color="auto" w:fill="auto"/>
          </w:tcPr>
          <w:p w14:paraId="3420323E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ОК-2-1</w:t>
            </w:r>
          </w:p>
        </w:tc>
      </w:tr>
      <w:tr w:rsidR="00F03DF5" w:rsidRPr="00EE73F0" w14:paraId="14C245B3" w14:textId="77777777" w:rsidTr="00C11C67">
        <w:tc>
          <w:tcPr>
            <w:tcW w:w="49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3DE71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51" w:type="dxa"/>
            <w:shd w:val="clear" w:color="auto" w:fill="auto"/>
          </w:tcPr>
          <w:p w14:paraId="044966CD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2,8</w:t>
            </w:r>
          </w:p>
        </w:tc>
        <w:tc>
          <w:tcPr>
            <w:tcW w:w="2410" w:type="dxa"/>
            <w:shd w:val="clear" w:color="auto" w:fill="auto"/>
          </w:tcPr>
          <w:p w14:paraId="0EF98078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F03DF5" w:rsidRPr="00EE73F0" w14:paraId="20CDEBB4" w14:textId="77777777" w:rsidTr="00C11C67">
        <w:tc>
          <w:tcPr>
            <w:tcW w:w="496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B027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Хладагент, </w:t>
            </w:r>
            <w:r w:rsidRPr="00EE73F0">
              <w:rPr>
                <w:rFonts w:ascii="Verdana" w:hAnsi="Verdana"/>
                <w:color w:val="000000"/>
                <w:spacing w:val="2"/>
                <w:sz w:val="20"/>
                <w:szCs w:val="20"/>
                <w:lang w:val="en-US"/>
              </w:rPr>
              <w:t>R</w:t>
            </w:r>
            <w:r w:rsidRPr="00EE73F0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 22 (хладон 404), кг</w:t>
            </w:r>
          </w:p>
        </w:tc>
        <w:tc>
          <w:tcPr>
            <w:tcW w:w="2551" w:type="dxa"/>
            <w:shd w:val="pct10" w:color="auto" w:fill="auto"/>
          </w:tcPr>
          <w:p w14:paraId="0E8AB6FE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pct10" w:color="auto" w:fill="auto"/>
          </w:tcPr>
          <w:p w14:paraId="7A9AD442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1,4</w:t>
            </w:r>
          </w:p>
        </w:tc>
      </w:tr>
      <w:tr w:rsidR="00F03DF5" w:rsidRPr="00EE73F0" w14:paraId="6BB98913" w14:textId="77777777" w:rsidTr="00C11C67">
        <w:tc>
          <w:tcPr>
            <w:tcW w:w="49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81875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Хладопроизводительность, ккал</w:t>
            </w:r>
          </w:p>
        </w:tc>
        <w:tc>
          <w:tcPr>
            <w:tcW w:w="2551" w:type="dxa"/>
            <w:shd w:val="clear" w:color="auto" w:fill="auto"/>
          </w:tcPr>
          <w:p w14:paraId="7B2EFF97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2</w:t>
            </w:r>
            <w:r w:rsidR="001B377B" w:rsidRPr="00EE73F0">
              <w:rPr>
                <w:rFonts w:ascii="Verdana" w:hAnsi="Verdana"/>
                <w:sz w:val="20"/>
                <w:szCs w:val="20"/>
              </w:rPr>
              <w:t>5</w:t>
            </w:r>
            <w:r w:rsidRPr="00EE73F0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14:paraId="551041CF" w14:textId="77777777" w:rsidR="00F03DF5" w:rsidRPr="00EE73F0" w:rsidRDefault="001B377B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25</w:t>
            </w:r>
            <w:r w:rsidR="00F03DF5" w:rsidRPr="00EE73F0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F03DF5" w:rsidRPr="00EE73F0" w14:paraId="4BD0FB14" w14:textId="77777777" w:rsidTr="00C11C67">
        <w:tc>
          <w:tcPr>
            <w:tcW w:w="496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86CD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4961" w:type="dxa"/>
            <w:gridSpan w:val="2"/>
            <w:shd w:val="pct10" w:color="auto" w:fill="auto"/>
          </w:tcPr>
          <w:p w14:paraId="0C5C4BB4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расчетная</w:t>
            </w:r>
          </w:p>
        </w:tc>
      </w:tr>
      <w:tr w:rsidR="00F03DF5" w:rsidRPr="00EE73F0" w14:paraId="1115F8D9" w14:textId="77777777" w:rsidTr="00C11C67">
        <w:tc>
          <w:tcPr>
            <w:tcW w:w="49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FB12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Ширина конвейерной ленты, мм</w:t>
            </w:r>
          </w:p>
        </w:tc>
        <w:tc>
          <w:tcPr>
            <w:tcW w:w="2551" w:type="dxa"/>
            <w:shd w:val="clear" w:color="auto" w:fill="auto"/>
          </w:tcPr>
          <w:p w14:paraId="5D789BFB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420</w:t>
            </w:r>
          </w:p>
        </w:tc>
        <w:tc>
          <w:tcPr>
            <w:tcW w:w="2410" w:type="dxa"/>
            <w:shd w:val="clear" w:color="auto" w:fill="auto"/>
          </w:tcPr>
          <w:p w14:paraId="7704E018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  <w:tr w:rsidR="00F03DF5" w:rsidRPr="00EE73F0" w14:paraId="69D7FBC9" w14:textId="77777777" w:rsidTr="00C11C67">
        <w:tc>
          <w:tcPr>
            <w:tcW w:w="496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67B0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Скорость движения ленты, м/мин</w:t>
            </w:r>
          </w:p>
        </w:tc>
        <w:tc>
          <w:tcPr>
            <w:tcW w:w="4961" w:type="dxa"/>
            <w:gridSpan w:val="2"/>
            <w:shd w:val="pct10" w:color="auto" w:fill="auto"/>
          </w:tcPr>
          <w:p w14:paraId="5EAE9005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0,5-5</w:t>
            </w:r>
          </w:p>
        </w:tc>
      </w:tr>
      <w:tr w:rsidR="00F03DF5" w:rsidRPr="00EE73F0" w14:paraId="75A84026" w14:textId="77777777" w:rsidTr="00C11C67">
        <w:tc>
          <w:tcPr>
            <w:tcW w:w="49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4469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="00CD06B7" w:rsidRPr="00EE73F0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EE73F0">
              <w:rPr>
                <w:rFonts w:ascii="Verdana" w:hAnsi="Verdana"/>
                <w:sz w:val="20"/>
                <w:szCs w:val="20"/>
              </w:rPr>
              <w:t>Ш</w:t>
            </w:r>
            <w:r w:rsidR="00CD06B7" w:rsidRPr="00EE73F0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EE73F0">
              <w:rPr>
                <w:rFonts w:ascii="Verdana" w:hAnsi="Verdana"/>
                <w:sz w:val="20"/>
                <w:szCs w:val="20"/>
              </w:rPr>
              <w:t>В), м</w:t>
            </w:r>
            <w:r w:rsidR="00DF27EE" w:rsidRPr="00EE73F0">
              <w:rPr>
                <w:rFonts w:ascii="Verdana" w:hAnsi="Verdana"/>
                <w:sz w:val="20"/>
                <w:szCs w:val="2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14:paraId="32C42352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3500х600х1550</w:t>
            </w:r>
          </w:p>
        </w:tc>
        <w:tc>
          <w:tcPr>
            <w:tcW w:w="2410" w:type="dxa"/>
            <w:shd w:val="clear" w:color="auto" w:fill="auto"/>
          </w:tcPr>
          <w:p w14:paraId="298BDCF4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3500х800х1550</w:t>
            </w:r>
          </w:p>
        </w:tc>
      </w:tr>
      <w:tr w:rsidR="00F03DF5" w:rsidRPr="00EE73F0" w14:paraId="4733B228" w14:textId="77777777" w:rsidTr="00C11C67">
        <w:tc>
          <w:tcPr>
            <w:tcW w:w="496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E4E5" w14:textId="77777777" w:rsidR="00F03DF5" w:rsidRPr="00EE73F0" w:rsidRDefault="00F03DF5" w:rsidP="00BC583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Масса машины, кг, не более</w:t>
            </w:r>
          </w:p>
        </w:tc>
        <w:tc>
          <w:tcPr>
            <w:tcW w:w="2551" w:type="dxa"/>
            <w:shd w:val="pct10" w:color="auto" w:fill="auto"/>
          </w:tcPr>
          <w:p w14:paraId="0DA6FF09" w14:textId="77777777" w:rsidR="00F03DF5" w:rsidRPr="00EE73F0" w:rsidRDefault="00F03DF5" w:rsidP="00EE73F0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2410" w:type="dxa"/>
            <w:shd w:val="pct10" w:color="auto" w:fill="auto"/>
          </w:tcPr>
          <w:p w14:paraId="5A92A794" w14:textId="77777777" w:rsidR="00F03DF5" w:rsidRPr="00EE73F0" w:rsidRDefault="00F03DF5" w:rsidP="00EE73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</w:tbl>
    <w:p w14:paraId="254676C2" w14:textId="77777777" w:rsidR="005A6986" w:rsidRDefault="005A6986" w:rsidP="00EE73F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B46BC3B" w14:textId="77777777" w:rsidR="00CE3000" w:rsidRPr="00EE73F0" w:rsidRDefault="00CE3000" w:rsidP="00EE73F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EE73F0">
        <w:rPr>
          <w:rFonts w:ascii="Verdana" w:hAnsi="Verdana"/>
          <w:b/>
          <w:sz w:val="20"/>
          <w:szCs w:val="20"/>
        </w:rPr>
        <w:t>Стоимость оборудования</w:t>
      </w:r>
      <w:r w:rsidR="00516E20">
        <w:rPr>
          <w:rFonts w:ascii="Verdana" w:hAnsi="Verdana"/>
          <w:b/>
          <w:sz w:val="20"/>
          <w:szCs w:val="20"/>
        </w:rPr>
        <w:t>:</w:t>
      </w:r>
    </w:p>
    <w:p w14:paraId="03AFEF6A" w14:textId="77777777" w:rsidR="00CE3000" w:rsidRPr="00BC5835" w:rsidRDefault="00CE3000" w:rsidP="00EE73F0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BC5835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721"/>
        <w:gridCol w:w="2202"/>
      </w:tblGrid>
      <w:tr w:rsidR="00CE3000" w:rsidRPr="00EE73F0" w14:paraId="0D07E875" w14:textId="77777777" w:rsidTr="00C11C67">
        <w:tc>
          <w:tcPr>
            <w:tcW w:w="7721" w:type="dxa"/>
            <w:shd w:val="pct10" w:color="auto" w:fill="auto"/>
            <w:hideMark/>
          </w:tcPr>
          <w:p w14:paraId="0F807008" w14:textId="77777777" w:rsidR="00CE3000" w:rsidRPr="00EE73F0" w:rsidRDefault="00CE3000" w:rsidP="00BC5835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EE73F0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EE73F0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EE73F0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02" w:type="dxa"/>
            <w:shd w:val="pct10" w:color="auto" w:fill="auto"/>
            <w:hideMark/>
          </w:tcPr>
          <w:p w14:paraId="4D569110" w14:textId="77777777" w:rsidR="00CE3000" w:rsidRPr="00EE73F0" w:rsidRDefault="00CE3000" w:rsidP="00EE73F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73F0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CE3000" w:rsidRPr="00EE73F0" w14:paraId="712AC781" w14:textId="77777777" w:rsidTr="00C11C67">
        <w:trPr>
          <w:trHeight w:val="297"/>
        </w:trPr>
        <w:tc>
          <w:tcPr>
            <w:tcW w:w="7721" w:type="dxa"/>
            <w:shd w:val="clear" w:color="auto" w:fill="auto"/>
            <w:hideMark/>
          </w:tcPr>
          <w:p w14:paraId="036D9B96" w14:textId="77777777" w:rsidR="00CE3000" w:rsidRPr="00EE73F0" w:rsidRDefault="000E4B07" w:rsidP="00BC5835">
            <w:pPr>
              <w:spacing w:line="276" w:lineRule="auto"/>
              <w:ind w:hanging="108"/>
              <w:jc w:val="both"/>
              <w:rPr>
                <w:rFonts w:ascii="Verdana" w:hAnsi="Verdana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ОК-1-1</w:t>
            </w:r>
          </w:p>
        </w:tc>
        <w:tc>
          <w:tcPr>
            <w:tcW w:w="2202" w:type="dxa"/>
            <w:shd w:val="clear" w:color="auto" w:fill="auto"/>
            <w:hideMark/>
          </w:tcPr>
          <w:p w14:paraId="1EF67D1F" w14:textId="31162D91" w:rsidR="00CE3000" w:rsidRPr="00EE73F0" w:rsidRDefault="00245AAF" w:rsidP="009F4C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8016F9">
              <w:rPr>
                <w:rFonts w:ascii="Verdana" w:hAnsi="Verdana"/>
                <w:sz w:val="20"/>
                <w:szCs w:val="20"/>
                <w:lang w:val="en-US"/>
              </w:rPr>
              <w:t>94</w:t>
            </w:r>
            <w:r w:rsidR="00DF27EE" w:rsidRPr="00EE73F0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F03DF5" w:rsidRPr="00EE73F0" w14:paraId="7C1CABC6" w14:textId="77777777" w:rsidTr="00C11C67">
        <w:trPr>
          <w:trHeight w:val="297"/>
        </w:trPr>
        <w:tc>
          <w:tcPr>
            <w:tcW w:w="7721" w:type="dxa"/>
            <w:shd w:val="pct10" w:color="auto" w:fill="auto"/>
            <w:hideMark/>
          </w:tcPr>
          <w:p w14:paraId="11349761" w14:textId="77777777" w:rsidR="00F03DF5" w:rsidRPr="00EE73F0" w:rsidRDefault="00F03DF5" w:rsidP="00BC5835">
            <w:pPr>
              <w:spacing w:line="276" w:lineRule="auto"/>
              <w:ind w:hanging="108"/>
              <w:jc w:val="both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EE73F0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ОК-2-1</w:t>
            </w:r>
          </w:p>
        </w:tc>
        <w:tc>
          <w:tcPr>
            <w:tcW w:w="2202" w:type="dxa"/>
            <w:shd w:val="pct10" w:color="auto" w:fill="auto"/>
            <w:hideMark/>
          </w:tcPr>
          <w:p w14:paraId="29A00CED" w14:textId="4659F2F5" w:rsidR="00F03DF5" w:rsidRPr="00EE73F0" w:rsidRDefault="008016F9" w:rsidP="009F4C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716</w:t>
            </w:r>
            <w:r w:rsidR="00DF27EE" w:rsidRPr="00EE73F0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72F6B64D" w14:textId="77777777" w:rsidR="005A6986" w:rsidRDefault="005A6986" w:rsidP="00EE73F0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7DBC8D0C" w14:textId="77777777" w:rsidR="00516E20" w:rsidRPr="00E671C6" w:rsidRDefault="00516E20" w:rsidP="00516E20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457C06E9" w14:textId="77777777" w:rsidR="00516E20" w:rsidRPr="00E671C6" w:rsidRDefault="00516E20" w:rsidP="00516E20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221F4BB" w14:textId="02DED693" w:rsidR="00516E20" w:rsidRPr="00E671C6" w:rsidRDefault="008016F9" w:rsidP="00516E20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16E20" w:rsidRPr="00E671C6">
        <w:rPr>
          <w:rFonts w:ascii="Verdana" w:hAnsi="Verdana"/>
          <w:sz w:val="20"/>
          <w:szCs w:val="20"/>
        </w:rPr>
        <w:tab/>
      </w:r>
      <w:r w:rsidR="00516E20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2BB68CD7" w14:textId="77777777" w:rsidR="00516E20" w:rsidRPr="00E671C6" w:rsidRDefault="00516E20" w:rsidP="00516E20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1545E4F5" w14:textId="77777777" w:rsidR="00516E20" w:rsidRDefault="00516E20" w:rsidP="00516E20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356D3E1B" w14:textId="77777777" w:rsidR="00516E20" w:rsidRPr="00820470" w:rsidRDefault="00516E20" w:rsidP="00516E20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3AF46701" w14:textId="77777777" w:rsidR="00516E20" w:rsidRDefault="00516E20" w:rsidP="00516E20">
      <w:pPr>
        <w:jc w:val="both"/>
        <w:rPr>
          <w:rFonts w:ascii="Verdana" w:hAnsi="Verdana"/>
          <w:b/>
          <w:sz w:val="20"/>
          <w:szCs w:val="20"/>
        </w:rPr>
      </w:pPr>
    </w:p>
    <w:p w14:paraId="4D2058FF" w14:textId="77777777" w:rsidR="00516E20" w:rsidRDefault="00516E20" w:rsidP="00516E2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50 рабочих дней.</w:t>
      </w:r>
    </w:p>
    <w:p w14:paraId="6D02FAFC" w14:textId="77777777" w:rsidR="00516E20" w:rsidRDefault="00516E20" w:rsidP="00516E2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26639946" w14:textId="77777777" w:rsidR="003669E4" w:rsidRPr="00516E20" w:rsidRDefault="00516E20" w:rsidP="00516E2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sectPr w:rsidR="003669E4" w:rsidRPr="00516E20" w:rsidSect="006A6583">
      <w:headerReference w:type="default" r:id="rId9"/>
      <w:footerReference w:type="default" r:id="rId10"/>
      <w:pgSz w:w="11906" w:h="16838"/>
      <w:pgMar w:top="567" w:right="851" w:bottom="567" w:left="1134" w:header="563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C998" w14:textId="77777777" w:rsidR="00AF4047" w:rsidRDefault="00AF4047" w:rsidP="003669E4">
      <w:r>
        <w:separator/>
      </w:r>
    </w:p>
  </w:endnote>
  <w:endnote w:type="continuationSeparator" w:id="0">
    <w:p w14:paraId="6AB8390B" w14:textId="77777777" w:rsidR="00AF4047" w:rsidRDefault="00AF4047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F2E2" w14:textId="77777777" w:rsidR="003669E4" w:rsidRDefault="00EE73F0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202D6" wp14:editId="52E39073">
          <wp:simplePos x="0" y="0"/>
          <wp:positionH relativeFrom="column">
            <wp:posOffset>-3810</wp:posOffset>
          </wp:positionH>
          <wp:positionV relativeFrom="paragraph">
            <wp:posOffset>-3037839</wp:posOffset>
          </wp:positionV>
          <wp:extent cx="6270917" cy="3329940"/>
          <wp:effectExtent l="0" t="0" r="0" b="3810"/>
          <wp:wrapNone/>
          <wp:docPr id="3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917" cy="332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B247" w14:textId="77777777" w:rsidR="00AF4047" w:rsidRDefault="00AF4047" w:rsidP="003669E4">
      <w:r>
        <w:separator/>
      </w:r>
    </w:p>
  </w:footnote>
  <w:footnote w:type="continuationSeparator" w:id="0">
    <w:p w14:paraId="08D8075A" w14:textId="77777777" w:rsidR="00AF4047" w:rsidRDefault="00AF4047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7E6" w14:textId="77777777" w:rsidR="003669E4" w:rsidRDefault="00EE73F0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22C45B9E" wp14:editId="61FB8D8B">
          <wp:extent cx="6296025" cy="457200"/>
          <wp:effectExtent l="0" t="0" r="9525" b="0"/>
          <wp:docPr id="6" name="Рисунок 6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DED13" w14:textId="77777777" w:rsidR="00EE73F0" w:rsidRDefault="00EE73F0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657911">
    <w:abstractNumId w:val="1"/>
  </w:num>
  <w:num w:numId="2" w16cid:durableId="895971673">
    <w:abstractNumId w:val="5"/>
  </w:num>
  <w:num w:numId="3" w16cid:durableId="2788024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72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1658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14867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1455"/>
    <w:rsid w:val="0001560E"/>
    <w:rsid w:val="00026341"/>
    <w:rsid w:val="00047621"/>
    <w:rsid w:val="000625E3"/>
    <w:rsid w:val="00062FDE"/>
    <w:rsid w:val="00067FC2"/>
    <w:rsid w:val="00070A7D"/>
    <w:rsid w:val="000807DE"/>
    <w:rsid w:val="00083ACD"/>
    <w:rsid w:val="000C25BB"/>
    <w:rsid w:val="000C309B"/>
    <w:rsid w:val="000C3533"/>
    <w:rsid w:val="000C5735"/>
    <w:rsid w:val="000C6168"/>
    <w:rsid w:val="000E4467"/>
    <w:rsid w:val="000E4B07"/>
    <w:rsid w:val="000E70B1"/>
    <w:rsid w:val="000F1582"/>
    <w:rsid w:val="0012411A"/>
    <w:rsid w:val="00132C9A"/>
    <w:rsid w:val="001611D3"/>
    <w:rsid w:val="001641EF"/>
    <w:rsid w:val="00180359"/>
    <w:rsid w:val="00181E1B"/>
    <w:rsid w:val="00184A41"/>
    <w:rsid w:val="0018535B"/>
    <w:rsid w:val="00191132"/>
    <w:rsid w:val="0019538A"/>
    <w:rsid w:val="001B377B"/>
    <w:rsid w:val="001D490C"/>
    <w:rsid w:val="001E36A4"/>
    <w:rsid w:val="001E4CC8"/>
    <w:rsid w:val="001E7025"/>
    <w:rsid w:val="001F6788"/>
    <w:rsid w:val="002102B4"/>
    <w:rsid w:val="0021663A"/>
    <w:rsid w:val="00223D85"/>
    <w:rsid w:val="0023066E"/>
    <w:rsid w:val="002371C4"/>
    <w:rsid w:val="00241BCE"/>
    <w:rsid w:val="00245AAF"/>
    <w:rsid w:val="00253590"/>
    <w:rsid w:val="00266AF4"/>
    <w:rsid w:val="00271046"/>
    <w:rsid w:val="0027498C"/>
    <w:rsid w:val="0029772B"/>
    <w:rsid w:val="002A7949"/>
    <w:rsid w:val="002B0695"/>
    <w:rsid w:val="002B1631"/>
    <w:rsid w:val="002D3477"/>
    <w:rsid w:val="002E5075"/>
    <w:rsid w:val="002F62FB"/>
    <w:rsid w:val="002F6358"/>
    <w:rsid w:val="00304E20"/>
    <w:rsid w:val="00311654"/>
    <w:rsid w:val="00333347"/>
    <w:rsid w:val="0033777D"/>
    <w:rsid w:val="003524B2"/>
    <w:rsid w:val="003559ED"/>
    <w:rsid w:val="003639C6"/>
    <w:rsid w:val="003669E4"/>
    <w:rsid w:val="00376CF7"/>
    <w:rsid w:val="00385811"/>
    <w:rsid w:val="00394DCB"/>
    <w:rsid w:val="003A09C6"/>
    <w:rsid w:val="003B69DA"/>
    <w:rsid w:val="003D4C86"/>
    <w:rsid w:val="003F7557"/>
    <w:rsid w:val="00427782"/>
    <w:rsid w:val="0044640E"/>
    <w:rsid w:val="00463F88"/>
    <w:rsid w:val="004642EC"/>
    <w:rsid w:val="00467409"/>
    <w:rsid w:val="004A0292"/>
    <w:rsid w:val="004F2CD2"/>
    <w:rsid w:val="00516E20"/>
    <w:rsid w:val="00520159"/>
    <w:rsid w:val="00523125"/>
    <w:rsid w:val="005243F8"/>
    <w:rsid w:val="00530563"/>
    <w:rsid w:val="0053762A"/>
    <w:rsid w:val="00537A42"/>
    <w:rsid w:val="00550878"/>
    <w:rsid w:val="00553CF2"/>
    <w:rsid w:val="00557092"/>
    <w:rsid w:val="0056519F"/>
    <w:rsid w:val="005720CB"/>
    <w:rsid w:val="00585EB6"/>
    <w:rsid w:val="005947A1"/>
    <w:rsid w:val="005A6986"/>
    <w:rsid w:val="005A6BEE"/>
    <w:rsid w:val="005C3538"/>
    <w:rsid w:val="005C479C"/>
    <w:rsid w:val="005D1932"/>
    <w:rsid w:val="005E3117"/>
    <w:rsid w:val="006048E7"/>
    <w:rsid w:val="00606AA9"/>
    <w:rsid w:val="00612304"/>
    <w:rsid w:val="006138EA"/>
    <w:rsid w:val="00614680"/>
    <w:rsid w:val="00617228"/>
    <w:rsid w:val="0062276E"/>
    <w:rsid w:val="00630635"/>
    <w:rsid w:val="006313D5"/>
    <w:rsid w:val="00637343"/>
    <w:rsid w:val="006515C4"/>
    <w:rsid w:val="00652608"/>
    <w:rsid w:val="00654008"/>
    <w:rsid w:val="0067478B"/>
    <w:rsid w:val="006760B6"/>
    <w:rsid w:val="00684C72"/>
    <w:rsid w:val="006902B3"/>
    <w:rsid w:val="006910F0"/>
    <w:rsid w:val="006A6583"/>
    <w:rsid w:val="006A6B08"/>
    <w:rsid w:val="006B2533"/>
    <w:rsid w:val="006C0CC8"/>
    <w:rsid w:val="006E2404"/>
    <w:rsid w:val="006E49C3"/>
    <w:rsid w:val="006E7FAE"/>
    <w:rsid w:val="006F40F2"/>
    <w:rsid w:val="00713753"/>
    <w:rsid w:val="007440E8"/>
    <w:rsid w:val="0074592B"/>
    <w:rsid w:val="00783887"/>
    <w:rsid w:val="00790DB2"/>
    <w:rsid w:val="007966E5"/>
    <w:rsid w:val="007A339F"/>
    <w:rsid w:val="007A451D"/>
    <w:rsid w:val="007C12E7"/>
    <w:rsid w:val="007D096C"/>
    <w:rsid w:val="007E0FB5"/>
    <w:rsid w:val="00800A32"/>
    <w:rsid w:val="008016F9"/>
    <w:rsid w:val="0080498C"/>
    <w:rsid w:val="00823FA1"/>
    <w:rsid w:val="0084308C"/>
    <w:rsid w:val="008448F5"/>
    <w:rsid w:val="00844BF7"/>
    <w:rsid w:val="0084508D"/>
    <w:rsid w:val="00852709"/>
    <w:rsid w:val="00892F7A"/>
    <w:rsid w:val="008A03C2"/>
    <w:rsid w:val="008A4D08"/>
    <w:rsid w:val="008B5B43"/>
    <w:rsid w:val="008C4CD7"/>
    <w:rsid w:val="008C5979"/>
    <w:rsid w:val="008C7AF9"/>
    <w:rsid w:val="008D39A6"/>
    <w:rsid w:val="008E4B0B"/>
    <w:rsid w:val="008E76C0"/>
    <w:rsid w:val="008F3350"/>
    <w:rsid w:val="00934719"/>
    <w:rsid w:val="00942CC5"/>
    <w:rsid w:val="00953680"/>
    <w:rsid w:val="00970802"/>
    <w:rsid w:val="00984462"/>
    <w:rsid w:val="00991199"/>
    <w:rsid w:val="009944A6"/>
    <w:rsid w:val="009C481F"/>
    <w:rsid w:val="009E069C"/>
    <w:rsid w:val="009E323B"/>
    <w:rsid w:val="009E67AB"/>
    <w:rsid w:val="009F4C91"/>
    <w:rsid w:val="00A00361"/>
    <w:rsid w:val="00A2337D"/>
    <w:rsid w:val="00A26B85"/>
    <w:rsid w:val="00A533F1"/>
    <w:rsid w:val="00A82BCA"/>
    <w:rsid w:val="00A868C0"/>
    <w:rsid w:val="00A87EF8"/>
    <w:rsid w:val="00A93AF9"/>
    <w:rsid w:val="00AA0DE6"/>
    <w:rsid w:val="00AA3FA1"/>
    <w:rsid w:val="00AB1591"/>
    <w:rsid w:val="00AB7BDA"/>
    <w:rsid w:val="00AE6DE4"/>
    <w:rsid w:val="00AE72BE"/>
    <w:rsid w:val="00AF1A60"/>
    <w:rsid w:val="00AF4047"/>
    <w:rsid w:val="00B1191E"/>
    <w:rsid w:val="00B14D76"/>
    <w:rsid w:val="00B237AC"/>
    <w:rsid w:val="00B250CF"/>
    <w:rsid w:val="00B265BA"/>
    <w:rsid w:val="00B33B9B"/>
    <w:rsid w:val="00B660D4"/>
    <w:rsid w:val="00B82464"/>
    <w:rsid w:val="00B9360E"/>
    <w:rsid w:val="00BB22C1"/>
    <w:rsid w:val="00BC49A5"/>
    <w:rsid w:val="00BC5835"/>
    <w:rsid w:val="00BD2A7C"/>
    <w:rsid w:val="00BD6995"/>
    <w:rsid w:val="00C060FA"/>
    <w:rsid w:val="00C11C67"/>
    <w:rsid w:val="00C14D79"/>
    <w:rsid w:val="00C20088"/>
    <w:rsid w:val="00C43011"/>
    <w:rsid w:val="00C510F6"/>
    <w:rsid w:val="00C57FE1"/>
    <w:rsid w:val="00C840E9"/>
    <w:rsid w:val="00C90C7A"/>
    <w:rsid w:val="00CB01DA"/>
    <w:rsid w:val="00CD06B7"/>
    <w:rsid w:val="00CE3000"/>
    <w:rsid w:val="00CE42A8"/>
    <w:rsid w:val="00CE7B3D"/>
    <w:rsid w:val="00CF2B9F"/>
    <w:rsid w:val="00D041A8"/>
    <w:rsid w:val="00D068F9"/>
    <w:rsid w:val="00D254ED"/>
    <w:rsid w:val="00D2631B"/>
    <w:rsid w:val="00D26851"/>
    <w:rsid w:val="00D42A16"/>
    <w:rsid w:val="00D46A66"/>
    <w:rsid w:val="00D46D75"/>
    <w:rsid w:val="00D51E89"/>
    <w:rsid w:val="00D54186"/>
    <w:rsid w:val="00D64273"/>
    <w:rsid w:val="00D67F2E"/>
    <w:rsid w:val="00D72CD2"/>
    <w:rsid w:val="00D73229"/>
    <w:rsid w:val="00D85C0D"/>
    <w:rsid w:val="00D942C6"/>
    <w:rsid w:val="00DD6C1B"/>
    <w:rsid w:val="00DD7982"/>
    <w:rsid w:val="00DF27EE"/>
    <w:rsid w:val="00DF4CBE"/>
    <w:rsid w:val="00DF5118"/>
    <w:rsid w:val="00E06516"/>
    <w:rsid w:val="00E12569"/>
    <w:rsid w:val="00E22508"/>
    <w:rsid w:val="00E322F1"/>
    <w:rsid w:val="00E52A88"/>
    <w:rsid w:val="00E806D7"/>
    <w:rsid w:val="00E84522"/>
    <w:rsid w:val="00E876C6"/>
    <w:rsid w:val="00E93660"/>
    <w:rsid w:val="00EA72CB"/>
    <w:rsid w:val="00EB1EE4"/>
    <w:rsid w:val="00EB7CD1"/>
    <w:rsid w:val="00EC0695"/>
    <w:rsid w:val="00EC3760"/>
    <w:rsid w:val="00EE561F"/>
    <w:rsid w:val="00EE5EF3"/>
    <w:rsid w:val="00EE73F0"/>
    <w:rsid w:val="00EF2A8E"/>
    <w:rsid w:val="00EF2B9A"/>
    <w:rsid w:val="00F0200E"/>
    <w:rsid w:val="00F03DF5"/>
    <w:rsid w:val="00F1182D"/>
    <w:rsid w:val="00F45358"/>
    <w:rsid w:val="00F47CDA"/>
    <w:rsid w:val="00F53881"/>
    <w:rsid w:val="00F66E9B"/>
    <w:rsid w:val="00FA4631"/>
    <w:rsid w:val="00FA5D70"/>
    <w:rsid w:val="00FB6BDA"/>
    <w:rsid w:val="00FC5685"/>
    <w:rsid w:val="00FD0669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AEAB1"/>
  <w15:docId w15:val="{EAAC4604-1B48-4B9E-BCAC-A75BE38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8A4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0E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6B14-D31E-4024-BEA3-645A7A32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11</cp:revision>
  <cp:lastPrinted>2021-01-10T15:51:00Z</cp:lastPrinted>
  <dcterms:created xsi:type="dcterms:W3CDTF">2020-10-14T08:26:00Z</dcterms:created>
  <dcterms:modified xsi:type="dcterms:W3CDTF">2025-02-07T09:33:00Z</dcterms:modified>
</cp:coreProperties>
</file>